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E0" w:rsidRPr="00E760E0" w:rsidRDefault="00CE4BB8" w:rsidP="00E760E0">
      <w:pPr>
        <w:pStyle w:val="Heading1"/>
        <w:spacing w:before="0"/>
        <w:jc w:val="center"/>
        <w:rPr>
          <w:sz w:val="32"/>
        </w:rPr>
      </w:pPr>
      <w:bookmarkStart w:id="0" w:name="_GoBack"/>
      <w:bookmarkEnd w:id="0"/>
      <w:r>
        <w:rPr>
          <w:sz w:val="32"/>
        </w:rPr>
        <w:t>2022 – 2023</w:t>
      </w:r>
      <w:r w:rsidR="00E760E0" w:rsidRPr="00E760E0">
        <w:rPr>
          <w:sz w:val="32"/>
        </w:rPr>
        <w:t xml:space="preserve"> Saskatchewan Lotteries Community Grant</w:t>
      </w:r>
    </w:p>
    <w:p w:rsidR="003C2524" w:rsidRPr="00E760E0" w:rsidRDefault="00E760E0" w:rsidP="00E760E0">
      <w:pPr>
        <w:pStyle w:val="Heading1"/>
        <w:spacing w:before="0"/>
        <w:jc w:val="center"/>
        <w:rPr>
          <w:sz w:val="32"/>
        </w:rPr>
      </w:pPr>
      <w:r w:rsidRPr="00E760E0">
        <w:rPr>
          <w:sz w:val="32"/>
        </w:rPr>
        <w:t>Program Guidelines</w:t>
      </w:r>
    </w:p>
    <w:p w:rsidR="00E760E0" w:rsidRDefault="00E760E0"/>
    <w:p w:rsidR="00E760E0" w:rsidRPr="00E760E0" w:rsidRDefault="00E760E0">
      <w:pPr>
        <w:rPr>
          <w:rStyle w:val="IntenseEmphasis"/>
          <w:sz w:val="24"/>
          <w:szCs w:val="24"/>
        </w:rPr>
      </w:pPr>
      <w:r>
        <w:rPr>
          <w:rStyle w:val="IntenseEmphasis"/>
          <w:sz w:val="24"/>
          <w:szCs w:val="24"/>
        </w:rPr>
        <w:t xml:space="preserve">PURPOSE </w:t>
      </w:r>
    </w:p>
    <w:p w:rsidR="00E760E0" w:rsidRDefault="00E760E0">
      <w:pPr>
        <w:rPr>
          <w:sz w:val="24"/>
          <w:szCs w:val="24"/>
        </w:rPr>
      </w:pPr>
      <w:r>
        <w:rPr>
          <w:sz w:val="24"/>
          <w:szCs w:val="24"/>
        </w:rPr>
        <w:t xml:space="preserve">The Saskatchewan Lotteries Community Grant Program is a partnership among Sask Sport Inc., SaskCulture Inc. and the Saskatchewan Parks and Recreation Association Inc. The grant process assists in the development of Sport, culture, and recreation programs by providing funds to non-profit community organizations operated by volunteers. </w:t>
      </w:r>
    </w:p>
    <w:p w:rsidR="00E760E0" w:rsidRDefault="00E760E0">
      <w:pPr>
        <w:rPr>
          <w:sz w:val="24"/>
          <w:szCs w:val="24"/>
        </w:rPr>
      </w:pPr>
      <w:r>
        <w:rPr>
          <w:sz w:val="24"/>
          <w:szCs w:val="24"/>
        </w:rPr>
        <w:t xml:space="preserve">The Saskatchewan Lotteries Community Grant Program is guided by the following: </w:t>
      </w:r>
    </w:p>
    <w:p w:rsidR="00E760E0" w:rsidRDefault="00E760E0" w:rsidP="00E760E0">
      <w:pPr>
        <w:pStyle w:val="ListParagraph"/>
        <w:numPr>
          <w:ilvl w:val="0"/>
          <w:numId w:val="1"/>
        </w:numPr>
        <w:rPr>
          <w:sz w:val="24"/>
          <w:szCs w:val="24"/>
        </w:rPr>
      </w:pPr>
      <w:r>
        <w:rPr>
          <w:sz w:val="24"/>
          <w:szCs w:val="24"/>
        </w:rPr>
        <w:t xml:space="preserve">It provides access to sport, culture and recreation activities for all Saskatchewan people regardless of age, sex, ethnicity, economic status, physical or mental ability; </w:t>
      </w:r>
    </w:p>
    <w:p w:rsidR="00E760E0" w:rsidRDefault="00E760E0" w:rsidP="00E760E0">
      <w:pPr>
        <w:pStyle w:val="ListParagraph"/>
        <w:numPr>
          <w:ilvl w:val="0"/>
          <w:numId w:val="1"/>
        </w:numPr>
        <w:rPr>
          <w:sz w:val="24"/>
          <w:szCs w:val="24"/>
        </w:rPr>
      </w:pPr>
      <w:r>
        <w:rPr>
          <w:sz w:val="24"/>
          <w:szCs w:val="24"/>
        </w:rPr>
        <w:t xml:space="preserve">It provides funds to community non-profit volunteer organizations in support of port, culture and recreation programs; </w:t>
      </w:r>
    </w:p>
    <w:p w:rsidR="00E760E0" w:rsidRDefault="00E760E0" w:rsidP="00E760E0">
      <w:pPr>
        <w:pStyle w:val="ListParagraph"/>
        <w:numPr>
          <w:ilvl w:val="0"/>
          <w:numId w:val="1"/>
        </w:numPr>
        <w:rPr>
          <w:sz w:val="24"/>
          <w:szCs w:val="24"/>
        </w:rPr>
      </w:pPr>
      <w:r>
        <w:rPr>
          <w:sz w:val="24"/>
          <w:szCs w:val="24"/>
        </w:rPr>
        <w:t>It allows communities to establish local priorities; and</w:t>
      </w:r>
    </w:p>
    <w:p w:rsidR="00E760E0" w:rsidRDefault="00E760E0" w:rsidP="00E760E0">
      <w:pPr>
        <w:pStyle w:val="ListParagraph"/>
        <w:numPr>
          <w:ilvl w:val="0"/>
          <w:numId w:val="1"/>
        </w:numPr>
        <w:rPr>
          <w:sz w:val="24"/>
          <w:szCs w:val="24"/>
        </w:rPr>
      </w:pPr>
      <w:r>
        <w:rPr>
          <w:sz w:val="24"/>
          <w:szCs w:val="24"/>
        </w:rPr>
        <w:t xml:space="preserve">It stipulates that all participating groups, from administration to beneficiary, are responsible for ensuring complete and accurate accounting. </w:t>
      </w:r>
    </w:p>
    <w:p w:rsidR="00E760E0" w:rsidRDefault="00E760E0">
      <w:pPr>
        <w:rPr>
          <w:rStyle w:val="IntenseEmphasis"/>
          <w:sz w:val="24"/>
        </w:rPr>
      </w:pPr>
      <w:r w:rsidRPr="00E760E0">
        <w:rPr>
          <w:rStyle w:val="IntenseEmphasis"/>
          <w:sz w:val="24"/>
        </w:rPr>
        <w:t xml:space="preserve">ELIGIBILITY </w:t>
      </w:r>
    </w:p>
    <w:p w:rsidR="00E760E0" w:rsidRPr="00E760E0" w:rsidRDefault="00E760E0" w:rsidP="00E760E0">
      <w:pPr>
        <w:rPr>
          <w:b/>
        </w:rPr>
      </w:pPr>
      <w:r w:rsidRPr="00E760E0">
        <w:rPr>
          <w:b/>
        </w:rPr>
        <w:t xml:space="preserve">Who is eligible? </w:t>
      </w:r>
    </w:p>
    <w:p w:rsidR="00E760E0" w:rsidRDefault="00E760E0" w:rsidP="00E760E0">
      <w:r>
        <w:t xml:space="preserve">First Nation band councils, northern settlements and municipal governments (city, town, village, organized hamlet or rural municipality) are eligible to apply. These authorities distribute funds to local non-profit volunteer community groups to provide programs. </w:t>
      </w:r>
    </w:p>
    <w:p w:rsidR="00E760E0" w:rsidRPr="00E760E0" w:rsidRDefault="00E760E0" w:rsidP="00E760E0">
      <w:pPr>
        <w:rPr>
          <w:b/>
        </w:rPr>
      </w:pPr>
      <w:r w:rsidRPr="00E760E0">
        <w:rPr>
          <w:b/>
        </w:rPr>
        <w:t xml:space="preserve">How are eligible amounts distributed? </w:t>
      </w:r>
    </w:p>
    <w:p w:rsidR="00E760E0" w:rsidRDefault="00E760E0" w:rsidP="00E760E0">
      <w:r>
        <w:t xml:space="preserve">Grant amounts are determined by population. The minimum grant is $250. Inter-community cooperation is extremely important in the development of effective programs. Funds can be allocated to another jurisdiction in order to enhance access to high-quality programs as long as no outstanding grants exist. </w:t>
      </w:r>
    </w:p>
    <w:p w:rsidR="00E760E0" w:rsidRDefault="00E760E0" w:rsidP="00E760E0">
      <w:r>
        <w:t xml:space="preserve">For example: The Village of A is 20 km from the Town of B. A and B can pool funding to provide one program for both centers. Authorities receiving funds from another centre must acquire the signature of a mayor/reeve/chief or the other authority. </w:t>
      </w:r>
    </w:p>
    <w:p w:rsidR="00791DDC" w:rsidRDefault="00791DDC" w:rsidP="00E760E0">
      <w:pPr>
        <w:rPr>
          <w:rStyle w:val="IntenseEmphasis"/>
          <w:sz w:val="24"/>
        </w:rPr>
      </w:pPr>
    </w:p>
    <w:p w:rsidR="00791DDC" w:rsidRDefault="00791DDC" w:rsidP="00E760E0">
      <w:pPr>
        <w:rPr>
          <w:rStyle w:val="IntenseEmphasis"/>
          <w:sz w:val="24"/>
        </w:rPr>
      </w:pPr>
    </w:p>
    <w:p w:rsidR="009401F1" w:rsidRPr="009401F1" w:rsidRDefault="009401F1" w:rsidP="00E760E0">
      <w:pPr>
        <w:rPr>
          <w:rStyle w:val="IntenseEmphasis"/>
          <w:sz w:val="24"/>
        </w:rPr>
      </w:pPr>
      <w:r w:rsidRPr="009401F1">
        <w:rPr>
          <w:rStyle w:val="IntenseEmphasis"/>
          <w:sz w:val="24"/>
        </w:rPr>
        <w:lastRenderedPageBreak/>
        <w:t>PROGRAM OBJECTIVE</w:t>
      </w:r>
    </w:p>
    <w:p w:rsidR="009401F1" w:rsidRDefault="009401F1" w:rsidP="00E760E0">
      <w:r>
        <w:t xml:space="preserve">The goal of the program is to get people involved I sport, culture and recreation activities by enabling communities to address the needs of local residents. </w:t>
      </w:r>
    </w:p>
    <w:p w:rsidR="009401F1" w:rsidRDefault="009401F1" w:rsidP="00E760E0">
      <w:r>
        <w:t xml:space="preserve">A portion of the total grant must be used for programs aimed at increasing participation for under-represented populations within your community. Examples include indigenous people, seniors, women, youth at risk, economically disadvantaged, persons with a disability and single-parent families. </w:t>
      </w:r>
    </w:p>
    <w:p w:rsidR="004549B9" w:rsidRDefault="004549B9" w:rsidP="00E760E0">
      <w:r>
        <w:t xml:space="preserve">The </w:t>
      </w:r>
      <w:r w:rsidR="0031166B">
        <w:t xml:space="preserve">under-represented requirement can be met by including under-represented population in regular programs and/or by creating special programs to meet their needs. </w:t>
      </w:r>
    </w:p>
    <w:p w:rsidR="0031166B" w:rsidRPr="0031166B" w:rsidRDefault="0031166B" w:rsidP="00E760E0">
      <w:pPr>
        <w:rPr>
          <w:rStyle w:val="IntenseEmphasis"/>
          <w:sz w:val="24"/>
        </w:rPr>
      </w:pPr>
      <w:r>
        <w:rPr>
          <w:rStyle w:val="IntenseEmphasis"/>
          <w:sz w:val="24"/>
        </w:rPr>
        <w:t>PROGRAM CRITERIA</w:t>
      </w:r>
    </w:p>
    <w:p w:rsidR="0031166B" w:rsidRDefault="0031166B" w:rsidP="0031166B">
      <w:pPr>
        <w:pStyle w:val="ListParagraph"/>
        <w:numPr>
          <w:ilvl w:val="0"/>
          <w:numId w:val="2"/>
        </w:numPr>
      </w:pPr>
      <w:r>
        <w:t xml:space="preserve">Expenditures must be </w:t>
      </w:r>
      <w:r>
        <w:rPr>
          <w:b/>
        </w:rPr>
        <w:t>directly related</w:t>
      </w:r>
      <w:r>
        <w:t xml:space="preserve"> to the delivery of a sport, culture, or recreation program. </w:t>
      </w:r>
    </w:p>
    <w:p w:rsidR="0031166B" w:rsidRDefault="0031166B" w:rsidP="0031166B">
      <w:pPr>
        <w:pStyle w:val="ListParagraph"/>
        <w:numPr>
          <w:ilvl w:val="0"/>
          <w:numId w:val="2"/>
        </w:numPr>
      </w:pPr>
      <w:r>
        <w:t xml:space="preserve">Operation costs of facilities that are directly related to the program are eligible for 25% of the total grant received for each program up to a maximum of $500 per program (including cleaning staff). Communities receiving a grant of $2,000 or less will not be limited to 25% of the grant for operation costs of facilities. If needed, the entire grant can be used for those expenses; however, non-operational program costs are encouraged to enhance programming. </w:t>
      </w:r>
    </w:p>
    <w:p w:rsidR="0031166B" w:rsidRDefault="0031166B" w:rsidP="0031166B">
      <w:pPr>
        <w:pStyle w:val="ListParagraph"/>
        <w:numPr>
          <w:ilvl w:val="0"/>
          <w:numId w:val="2"/>
        </w:numPr>
      </w:pPr>
      <w:r>
        <w:t xml:space="preserve">Follow-ups verifying project expenditures must be submitted (see Follow-up Process for details). </w:t>
      </w:r>
    </w:p>
    <w:p w:rsidR="0031166B" w:rsidRDefault="0031166B" w:rsidP="0031166B">
      <w:pPr>
        <w:pStyle w:val="ListParagraph"/>
        <w:numPr>
          <w:ilvl w:val="0"/>
          <w:numId w:val="2"/>
        </w:numPr>
      </w:pPr>
      <w:r>
        <w:t xml:space="preserve">Communities receiving a grant for more than $2,000 are required to identify in the follow-up report that a minimum of 30% of the grant was used to support programs directed at under-represented populations. </w:t>
      </w:r>
    </w:p>
    <w:p w:rsidR="0031166B" w:rsidRDefault="0031166B" w:rsidP="0031166B">
      <w:pPr>
        <w:pStyle w:val="ListParagraph"/>
        <w:numPr>
          <w:ilvl w:val="0"/>
          <w:numId w:val="2"/>
        </w:numPr>
      </w:pPr>
      <w:r>
        <w:t xml:space="preserve">Evidence of the direct involvement of under-represented populations in the planning, operating, and evaluating of activities to be supported by the grant must be included in the follow-up report. </w:t>
      </w:r>
    </w:p>
    <w:p w:rsidR="0031166B" w:rsidRDefault="0031166B" w:rsidP="0031166B">
      <w:pPr>
        <w:pStyle w:val="ListParagraph"/>
        <w:numPr>
          <w:ilvl w:val="0"/>
          <w:numId w:val="2"/>
        </w:numPr>
      </w:pPr>
      <w:r>
        <w:t xml:space="preserve">To be eligible, the Application Form must be signed by a bonded authorized officer of the community (mayor, reeve, chief, municipal/band administrator). </w:t>
      </w:r>
    </w:p>
    <w:p w:rsidR="0031166B" w:rsidRDefault="0031166B" w:rsidP="0031166B">
      <w:pPr>
        <w:pStyle w:val="ListParagraph"/>
        <w:numPr>
          <w:ilvl w:val="0"/>
          <w:numId w:val="2"/>
        </w:numPr>
      </w:pPr>
      <w:r>
        <w:t xml:space="preserve">Communities are responsible to ensure that appropriate liability and participant’s insurance is in place for events sponsored/funded by the Community Grant Program. </w:t>
      </w:r>
    </w:p>
    <w:p w:rsidR="00DD63F6" w:rsidRDefault="00DD63F6" w:rsidP="0031166B">
      <w:pPr>
        <w:pStyle w:val="ListParagraph"/>
        <w:numPr>
          <w:ilvl w:val="0"/>
          <w:numId w:val="2"/>
        </w:numPr>
      </w:pPr>
      <w:r>
        <w:t xml:space="preserve">Groups receiving grants must publicly acknowledge Saskatchewan Lotteries within their activities. </w:t>
      </w:r>
    </w:p>
    <w:p w:rsidR="009F4FAD" w:rsidRDefault="009F4FAD" w:rsidP="009F4FAD">
      <w:r>
        <w:rPr>
          <w:b/>
        </w:rPr>
        <w:t xml:space="preserve">The program is designed to provide funding for sport, culture, and recreation programs. Therefore, the following expenditures are INELIGIBLE for grants: </w:t>
      </w:r>
    </w:p>
    <w:p w:rsidR="009F4FAD" w:rsidRDefault="009F4FAD" w:rsidP="009F4FAD">
      <w:pPr>
        <w:pStyle w:val="ListParagraph"/>
        <w:numPr>
          <w:ilvl w:val="0"/>
          <w:numId w:val="3"/>
        </w:numPr>
      </w:pPr>
      <w:r>
        <w:t xml:space="preserve">Construction, renovation, retro-fit and repairs to buildings/facilities (this includes fixing doors, shingling roofs, installing flooring, moving/hauling dirt, etc.); </w:t>
      </w:r>
    </w:p>
    <w:p w:rsidR="009F4FAD" w:rsidRDefault="009F4FAD" w:rsidP="009F4FAD">
      <w:pPr>
        <w:pStyle w:val="ListParagraph"/>
        <w:numPr>
          <w:ilvl w:val="0"/>
          <w:numId w:val="3"/>
        </w:numPr>
      </w:pPr>
      <w:r>
        <w:t xml:space="preserve">Property taxes, insurance; </w:t>
      </w:r>
    </w:p>
    <w:p w:rsidR="009F4FAD" w:rsidRDefault="009F4FAD" w:rsidP="009F4FAD">
      <w:pPr>
        <w:pStyle w:val="ListParagraph"/>
        <w:numPr>
          <w:ilvl w:val="0"/>
          <w:numId w:val="3"/>
        </w:numPr>
      </w:pPr>
      <w:r>
        <w:t xml:space="preserve">Alcoholic beverages; </w:t>
      </w:r>
    </w:p>
    <w:p w:rsidR="009F4FAD" w:rsidRDefault="009F4FAD" w:rsidP="009F4FAD">
      <w:pPr>
        <w:pStyle w:val="ListParagraph"/>
        <w:numPr>
          <w:ilvl w:val="0"/>
          <w:numId w:val="3"/>
        </w:numPr>
      </w:pPr>
      <w:r>
        <w:t xml:space="preserve">Per Diems/Day Money </w:t>
      </w:r>
    </w:p>
    <w:p w:rsidR="009F4FAD" w:rsidRDefault="009F4FAD" w:rsidP="009F4FAD">
      <w:pPr>
        <w:pStyle w:val="ListParagraph"/>
        <w:numPr>
          <w:ilvl w:val="0"/>
          <w:numId w:val="3"/>
        </w:numPr>
      </w:pPr>
      <w:r>
        <w:t xml:space="preserve">Food or food related costs (this includes catering supplies, coffee pots, coffee, BBQs, etc.); </w:t>
      </w:r>
    </w:p>
    <w:p w:rsidR="009F4FAD" w:rsidRDefault="009F4FAD" w:rsidP="009F4FAD">
      <w:pPr>
        <w:pStyle w:val="ListParagraph"/>
        <w:numPr>
          <w:ilvl w:val="0"/>
          <w:numId w:val="3"/>
        </w:numPr>
      </w:pPr>
      <w:r>
        <w:t xml:space="preserve">Membership fees in other lottery-funded organizations; </w:t>
      </w:r>
    </w:p>
    <w:p w:rsidR="009F4FAD" w:rsidRDefault="009F4FAD" w:rsidP="009F4FAD">
      <w:pPr>
        <w:pStyle w:val="ListParagraph"/>
        <w:numPr>
          <w:ilvl w:val="0"/>
          <w:numId w:val="3"/>
        </w:numPr>
      </w:pPr>
      <w:r>
        <w:lastRenderedPageBreak/>
        <w:t xml:space="preserve">Prizes, cash, gifts, awards, honorariums, trophies, plaques, and badges; </w:t>
      </w:r>
    </w:p>
    <w:p w:rsidR="009F4FAD" w:rsidRDefault="009F4FAD" w:rsidP="009F4FAD">
      <w:pPr>
        <w:pStyle w:val="ListParagraph"/>
        <w:numPr>
          <w:ilvl w:val="0"/>
          <w:numId w:val="3"/>
        </w:numPr>
      </w:pPr>
      <w:r>
        <w:t xml:space="preserve">Out-of-province activities and travel; </w:t>
      </w:r>
    </w:p>
    <w:p w:rsidR="009F4FAD" w:rsidRDefault="009F4FAD" w:rsidP="009F4FAD">
      <w:pPr>
        <w:pStyle w:val="ListParagraph"/>
        <w:numPr>
          <w:ilvl w:val="0"/>
          <w:numId w:val="3"/>
        </w:numPr>
      </w:pPr>
      <w:r>
        <w:t xml:space="preserve">Donations; </w:t>
      </w:r>
    </w:p>
    <w:p w:rsidR="009F4FAD" w:rsidRDefault="009F4FAD" w:rsidP="009F4FAD">
      <w:pPr>
        <w:pStyle w:val="ListParagraph"/>
        <w:numPr>
          <w:ilvl w:val="0"/>
          <w:numId w:val="3"/>
        </w:numPr>
      </w:pPr>
      <w:r>
        <w:t xml:space="preserve">Subsidization of wages for full-time employees. NOTE: Eligible employment expenditures must be no more than 35 hours a week and no more than 90 days in a grant period (of 455 hours in a grant period); and </w:t>
      </w:r>
    </w:p>
    <w:p w:rsidR="009F4FAD" w:rsidRDefault="009F4FAD" w:rsidP="009F4FAD">
      <w:pPr>
        <w:pStyle w:val="ListParagraph"/>
        <w:numPr>
          <w:ilvl w:val="0"/>
          <w:numId w:val="3"/>
        </w:numPr>
      </w:pPr>
      <w:r>
        <w:t xml:space="preserve">Uniforms or personal items such as sweatbands and hats. </w:t>
      </w:r>
    </w:p>
    <w:p w:rsidR="009A2EBD" w:rsidRPr="009A2EBD" w:rsidRDefault="009A2EBD" w:rsidP="009A2EBD">
      <w:pPr>
        <w:rPr>
          <w:rStyle w:val="IntenseEmphasis"/>
          <w:sz w:val="24"/>
        </w:rPr>
      </w:pPr>
      <w:r>
        <w:rPr>
          <w:rStyle w:val="IntenseEmphasis"/>
          <w:sz w:val="24"/>
        </w:rPr>
        <w:t>FOLLOW UPS</w:t>
      </w:r>
    </w:p>
    <w:p w:rsidR="009A2EBD" w:rsidRDefault="009A2EBD" w:rsidP="009A2EBD">
      <w:pPr>
        <w:rPr>
          <w:b/>
        </w:rPr>
      </w:pPr>
      <w:r w:rsidRPr="009A2EBD">
        <w:rPr>
          <w:b/>
        </w:rPr>
        <w:t>The Grant</w:t>
      </w:r>
      <w:r>
        <w:t xml:space="preserve"> </w:t>
      </w:r>
      <w:r w:rsidR="00CE4BB8">
        <w:rPr>
          <w:b/>
        </w:rPr>
        <w:t>period is from April 1, 2022 to March 31, 2023</w:t>
      </w:r>
      <w:r>
        <w:rPr>
          <w:b/>
        </w:rPr>
        <w:t xml:space="preserve">. Completed follow-ups can be submitted at any time during the grant year, but are </w:t>
      </w:r>
      <w:r w:rsidR="00CE4BB8">
        <w:rPr>
          <w:b/>
          <w:u w:val="single"/>
        </w:rPr>
        <w:t>due no later than June 30, 2022</w:t>
      </w:r>
      <w:r>
        <w:rPr>
          <w:b/>
        </w:rPr>
        <w:t xml:space="preserve">. </w:t>
      </w:r>
    </w:p>
    <w:p w:rsidR="009A2EBD" w:rsidRDefault="009A2EBD" w:rsidP="009A2EBD">
      <w:r>
        <w:rPr>
          <w:b/>
        </w:rPr>
        <w:t xml:space="preserve">AS SOON AS THE FOLLOW-UP IS SUBMITTED AND APPROVED, THE NEXT GRANT PAYMENT CAN BE RELEASED. </w:t>
      </w:r>
    </w:p>
    <w:p w:rsidR="009A2EBD" w:rsidRDefault="009A2EBD" w:rsidP="009A2EBD">
      <w:r>
        <w:t xml:space="preserve">Grants will be paid only after the follow-up form the previous year is received and approved. </w:t>
      </w:r>
    </w:p>
    <w:p w:rsidR="009A2EBD" w:rsidRDefault="009A2EBD" w:rsidP="009A2EBD">
      <w:r>
        <w:t xml:space="preserve">Communities that submit follow-ups after June 30, 2020 but before December 31, 2020 will be subject to a funding review. </w:t>
      </w:r>
    </w:p>
    <w:p w:rsidR="009A2EBD" w:rsidRDefault="009A2EBD" w:rsidP="009A2EBD">
      <w:r>
        <w:t xml:space="preserve">Communities that do not submit the previous year’s follow-up by December 31, 2020 will forfeit all unpaid grants. Funds used for ineligible expenditures and funds not spent within the grant period must be returned. </w:t>
      </w:r>
    </w:p>
    <w:p w:rsidR="009A2EBD" w:rsidRDefault="009A2EBD" w:rsidP="009A2EBD">
      <w:r>
        <w:t xml:space="preserve">FOR EXAMPLE: </w:t>
      </w:r>
    </w:p>
    <w:p w:rsidR="009A2EBD" w:rsidRDefault="009A2EBD" w:rsidP="009A2EBD">
      <w:r>
        <w:t>Grant Period: April 1, 2019 – March 31, 2020</w:t>
      </w:r>
      <w:r>
        <w:br/>
        <w:t>Follow-up due: June 30, 2020</w:t>
      </w:r>
    </w:p>
    <w:p w:rsidR="009A2EBD" w:rsidRDefault="009A2EBD" w:rsidP="009A2EBD">
      <w:r>
        <w:t xml:space="preserve">If not received by June 30, 2020 but before December 31, 2020, there will be a funding review. </w:t>
      </w:r>
    </w:p>
    <w:p w:rsidR="009A2EBD" w:rsidRDefault="009A2EBD" w:rsidP="009A2EBD">
      <w:r>
        <w:t xml:space="preserve">If the follow-up is not received by December 31, 2020, the group forfeits unpaid grant and subsequent applications will not be considered until all follow-ups are received. </w:t>
      </w:r>
    </w:p>
    <w:p w:rsidR="00CE0363" w:rsidRDefault="00CE0363" w:rsidP="009A2EBD">
      <w:r>
        <w:rPr>
          <w:b/>
        </w:rPr>
        <w:t xml:space="preserve">Follow-ups must include: </w:t>
      </w:r>
    </w:p>
    <w:p w:rsidR="00CE0363" w:rsidRDefault="004D7BAA" w:rsidP="00CE0363">
      <w:pPr>
        <w:pStyle w:val="ListParagraph"/>
        <w:numPr>
          <w:ilvl w:val="0"/>
          <w:numId w:val="4"/>
        </w:numPr>
      </w:pPr>
      <w:r>
        <w:t xml:space="preserve">A completed </w:t>
      </w:r>
      <w:r w:rsidR="000D5BF7">
        <w:t xml:space="preserve">Follow-up Summary Form and a Project Report Form for each project receiving a grant. All follow-ups must be verified by a bonded authorized officer of the community. The local government is responsible for submitting follow-up reports to the Community Grant Officer; </w:t>
      </w:r>
    </w:p>
    <w:p w:rsidR="000D5BF7" w:rsidRDefault="000D5BF7" w:rsidP="00CE0363">
      <w:pPr>
        <w:pStyle w:val="ListParagraph"/>
        <w:numPr>
          <w:ilvl w:val="0"/>
          <w:numId w:val="4"/>
        </w:numPr>
      </w:pPr>
      <w:r>
        <w:t xml:space="preserve">A list of actual expenditures for each project verified with receipts or an audited financial statement. If an audited financial statement is used as verification, it must be prepared by a registered Chartered Professional Accountant (CPA) and will only be accepted if the Saskatchewan Lotteries Community Grants are audited separately; </w:t>
      </w:r>
    </w:p>
    <w:p w:rsidR="000D5BF7" w:rsidRDefault="000D5BF7" w:rsidP="00CE0363">
      <w:pPr>
        <w:pStyle w:val="ListParagraph"/>
        <w:numPr>
          <w:ilvl w:val="0"/>
          <w:numId w:val="4"/>
        </w:numPr>
      </w:pPr>
      <w:r>
        <w:lastRenderedPageBreak/>
        <w:t xml:space="preserve">Cheque Request Forms and General Ledger Print Outs are not eligible for verification of expenses unless supported by actual receipts; </w:t>
      </w:r>
    </w:p>
    <w:p w:rsidR="000D5BF7" w:rsidRDefault="000D5BF7" w:rsidP="00CE0363">
      <w:pPr>
        <w:pStyle w:val="ListParagraph"/>
        <w:numPr>
          <w:ilvl w:val="0"/>
          <w:numId w:val="4"/>
        </w:numPr>
      </w:pPr>
      <w:r>
        <w:t xml:space="preserve">All receipts must be dated within the appropriate grant period (April 1, 2018 – March 31, 2019). Communities receiving more than $2,000 must indicate how 30% of the grant was used to benefit under-represented populations. Any unused portion of the 30% minimum must be returned; and </w:t>
      </w:r>
    </w:p>
    <w:p w:rsidR="000D5BF7" w:rsidRDefault="000D5BF7" w:rsidP="00CE0363">
      <w:pPr>
        <w:pStyle w:val="ListParagraph"/>
        <w:numPr>
          <w:ilvl w:val="0"/>
          <w:numId w:val="4"/>
        </w:numPr>
      </w:pPr>
      <w:r>
        <w:t xml:space="preserve">A description of how Saskatchewan Lotteries was publicly acknowledged as the source of funds for the program (samples may be requested). </w:t>
      </w:r>
    </w:p>
    <w:p w:rsidR="000D5BF7" w:rsidRPr="000D5BF7" w:rsidRDefault="000D5BF7" w:rsidP="000D5BF7">
      <w:pPr>
        <w:rPr>
          <w:rStyle w:val="IntenseEmphasis"/>
          <w:sz w:val="24"/>
        </w:rPr>
      </w:pPr>
      <w:r>
        <w:rPr>
          <w:rStyle w:val="IntenseEmphasis"/>
          <w:sz w:val="24"/>
        </w:rPr>
        <w:t>FOR MORE INFORMATION</w:t>
      </w:r>
    </w:p>
    <w:p w:rsidR="000D5BF7" w:rsidRDefault="000D5BF7" w:rsidP="000D5BF7">
      <w:pPr>
        <w:rPr>
          <w:b/>
        </w:rPr>
      </w:pPr>
      <w:r>
        <w:rPr>
          <w:b/>
        </w:rPr>
        <w:t xml:space="preserve">Saskatchewan Lotteries Community Grant Program </w:t>
      </w:r>
    </w:p>
    <w:p w:rsidR="006D5B7E" w:rsidRPr="000D5BF7" w:rsidRDefault="000D5BF7" w:rsidP="000D5BF7">
      <w:r>
        <w:t xml:space="preserve">Address: </w:t>
      </w:r>
      <w:r w:rsidR="006D5B7E">
        <w:t>1870 Lorne Street, Regina, SK, S4P 2L7</w:t>
      </w:r>
      <w:r w:rsidR="006D5B7E">
        <w:br/>
        <w:t xml:space="preserve">Phone: </w:t>
      </w:r>
      <w:r w:rsidR="006D5B7E">
        <w:tab/>
        <w:t>306-780-9344 (Regina Area)</w:t>
      </w:r>
      <w:r w:rsidR="006D5B7E">
        <w:br/>
      </w:r>
      <w:r w:rsidR="006D5B7E">
        <w:tab/>
        <w:t xml:space="preserve">1-888-780-9344 (Toll Free) </w:t>
      </w:r>
      <w:r w:rsidR="006D5B7E">
        <w:br/>
        <w:t xml:space="preserve">Fax: </w:t>
      </w:r>
      <w:r w:rsidR="006D5B7E">
        <w:tab/>
        <w:t>306-781-6021</w:t>
      </w:r>
      <w:r w:rsidR="006D5B7E">
        <w:br/>
        <w:t xml:space="preserve">Email: </w:t>
      </w:r>
      <w:hyperlink r:id="rId6" w:history="1">
        <w:r w:rsidR="006D5B7E" w:rsidRPr="0051544F">
          <w:rPr>
            <w:rStyle w:val="Hyperlink"/>
          </w:rPr>
          <w:t>lhodnefield@sasksport.sk.ca</w:t>
        </w:r>
      </w:hyperlink>
      <w:r w:rsidR="006D5B7E">
        <w:br/>
        <w:t xml:space="preserve">Website: </w:t>
      </w:r>
      <w:hyperlink r:id="rId7" w:history="1">
        <w:r w:rsidR="006D5B7E" w:rsidRPr="0051544F">
          <w:rPr>
            <w:rStyle w:val="Hyperlink"/>
          </w:rPr>
          <w:t>www.sasklotteries.ca</w:t>
        </w:r>
      </w:hyperlink>
      <w:r w:rsidR="006D5B7E">
        <w:t xml:space="preserve"> </w:t>
      </w:r>
    </w:p>
    <w:sectPr w:rsidR="006D5B7E" w:rsidRPr="000D5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AC4"/>
    <w:multiLevelType w:val="hybridMultilevel"/>
    <w:tmpl w:val="D5DA9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E451F"/>
    <w:multiLevelType w:val="hybridMultilevel"/>
    <w:tmpl w:val="0C464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7219D"/>
    <w:multiLevelType w:val="hybridMultilevel"/>
    <w:tmpl w:val="7F242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4519A"/>
    <w:multiLevelType w:val="hybridMultilevel"/>
    <w:tmpl w:val="8A541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E0"/>
    <w:rsid w:val="000D5BF7"/>
    <w:rsid w:val="0031166B"/>
    <w:rsid w:val="004549B9"/>
    <w:rsid w:val="004D7BAA"/>
    <w:rsid w:val="006D5B7E"/>
    <w:rsid w:val="00752FF1"/>
    <w:rsid w:val="00791DDC"/>
    <w:rsid w:val="009401F1"/>
    <w:rsid w:val="009A2EBD"/>
    <w:rsid w:val="009F4FAD"/>
    <w:rsid w:val="00A3649B"/>
    <w:rsid w:val="00C36149"/>
    <w:rsid w:val="00CE0363"/>
    <w:rsid w:val="00CE4BB8"/>
    <w:rsid w:val="00D22EFF"/>
    <w:rsid w:val="00DD63F6"/>
    <w:rsid w:val="00E760E0"/>
    <w:rsid w:val="00F3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0E0"/>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E760E0"/>
    <w:rPr>
      <w:b/>
      <w:bCs/>
      <w:i/>
      <w:iCs/>
      <w:color w:val="4F81BD" w:themeColor="accent1"/>
    </w:rPr>
  </w:style>
  <w:style w:type="paragraph" w:styleId="ListParagraph">
    <w:name w:val="List Paragraph"/>
    <w:basedOn w:val="Normal"/>
    <w:uiPriority w:val="34"/>
    <w:qFormat/>
    <w:rsid w:val="00E760E0"/>
    <w:pPr>
      <w:ind w:left="720"/>
      <w:contextualSpacing/>
    </w:pPr>
  </w:style>
  <w:style w:type="character" w:styleId="Emphasis">
    <w:name w:val="Emphasis"/>
    <w:basedOn w:val="DefaultParagraphFont"/>
    <w:uiPriority w:val="20"/>
    <w:qFormat/>
    <w:rsid w:val="00E760E0"/>
    <w:rPr>
      <w:i/>
      <w:iCs/>
    </w:rPr>
  </w:style>
  <w:style w:type="character" w:styleId="Hyperlink">
    <w:name w:val="Hyperlink"/>
    <w:basedOn w:val="DefaultParagraphFont"/>
    <w:uiPriority w:val="99"/>
    <w:unhideWhenUsed/>
    <w:rsid w:val="006D5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0E0"/>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E760E0"/>
    <w:rPr>
      <w:b/>
      <w:bCs/>
      <w:i/>
      <w:iCs/>
      <w:color w:val="4F81BD" w:themeColor="accent1"/>
    </w:rPr>
  </w:style>
  <w:style w:type="paragraph" w:styleId="ListParagraph">
    <w:name w:val="List Paragraph"/>
    <w:basedOn w:val="Normal"/>
    <w:uiPriority w:val="34"/>
    <w:qFormat/>
    <w:rsid w:val="00E760E0"/>
    <w:pPr>
      <w:ind w:left="720"/>
      <w:contextualSpacing/>
    </w:pPr>
  </w:style>
  <w:style w:type="character" w:styleId="Emphasis">
    <w:name w:val="Emphasis"/>
    <w:basedOn w:val="DefaultParagraphFont"/>
    <w:uiPriority w:val="20"/>
    <w:qFormat/>
    <w:rsid w:val="00E760E0"/>
    <w:rPr>
      <w:i/>
      <w:iCs/>
    </w:rPr>
  </w:style>
  <w:style w:type="character" w:styleId="Hyperlink">
    <w:name w:val="Hyperlink"/>
    <w:basedOn w:val="DefaultParagraphFont"/>
    <w:uiPriority w:val="99"/>
    <w:unhideWhenUsed/>
    <w:rsid w:val="006D5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sklotteri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odnefield@sasksport.sk.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Weyburn Laptop</dc:creator>
  <cp:lastModifiedBy>RM of Weyburn</cp:lastModifiedBy>
  <cp:revision>2</cp:revision>
  <cp:lastPrinted>2019-02-28T19:21:00Z</cp:lastPrinted>
  <dcterms:created xsi:type="dcterms:W3CDTF">2022-01-19T16:32:00Z</dcterms:created>
  <dcterms:modified xsi:type="dcterms:W3CDTF">2022-01-19T16:32:00Z</dcterms:modified>
</cp:coreProperties>
</file>